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BB" w:rsidRPr="00A40A32" w:rsidRDefault="006849BB" w:rsidP="006849BB">
      <w:pPr>
        <w:tabs>
          <w:tab w:val="left" w:pos="1960"/>
        </w:tabs>
        <w:jc w:val="center"/>
        <w:rPr>
          <w:rFonts w:hAnsi="メイリオ" w:cs="メイリオ"/>
          <w:sz w:val="20"/>
          <w:szCs w:val="20"/>
        </w:rPr>
      </w:pPr>
      <w:bookmarkStart w:id="0" w:name="_GoBack"/>
      <w:bookmarkEnd w:id="0"/>
      <w:r w:rsidRPr="00A40A32">
        <w:rPr>
          <w:rFonts w:hAnsi="メイリオ" w:cs="メイリオ" w:hint="eastAsia"/>
          <w:sz w:val="20"/>
          <w:szCs w:val="20"/>
        </w:rPr>
        <w:t>第213回　焼津市立総合病院治験審査委員会　会議の記録の概要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078"/>
        <w:gridCol w:w="9"/>
      </w:tblGrid>
      <w:tr w:rsidR="006849BB" w:rsidRPr="00A40A32" w:rsidTr="00332201">
        <w:trPr>
          <w:gridAfter w:val="1"/>
          <w:wAfter w:w="9" w:type="dxa"/>
          <w:trHeight w:val="651"/>
        </w:trPr>
        <w:tc>
          <w:tcPr>
            <w:tcW w:w="1578" w:type="dxa"/>
            <w:shd w:val="clear" w:color="auto" w:fill="auto"/>
          </w:tcPr>
          <w:p w:rsidR="006849BB" w:rsidRPr="00A40A32" w:rsidRDefault="006849BB" w:rsidP="00332201">
            <w:pPr>
              <w:jc w:val="center"/>
              <w:rPr>
                <w:rFonts w:hAnsi="メイリオ" w:cs="メイリオ"/>
                <w:sz w:val="20"/>
                <w:szCs w:val="20"/>
              </w:rPr>
            </w:pPr>
            <w:r w:rsidRPr="00A40A32">
              <w:rPr>
                <w:rFonts w:hAnsi="メイリオ" w:cs="メイリオ" w:hint="eastAsia"/>
                <w:kern w:val="0"/>
                <w:sz w:val="20"/>
                <w:szCs w:val="20"/>
              </w:rPr>
              <w:t>開催日時</w:t>
            </w:r>
          </w:p>
          <w:p w:rsidR="006849BB" w:rsidRPr="00A40A32" w:rsidRDefault="006849BB" w:rsidP="00332201">
            <w:pPr>
              <w:jc w:val="center"/>
              <w:rPr>
                <w:rFonts w:hAnsi="メイリオ" w:cs="メイリオ"/>
                <w:sz w:val="20"/>
                <w:szCs w:val="20"/>
              </w:rPr>
            </w:pPr>
            <w:r w:rsidRPr="00A40A32">
              <w:rPr>
                <w:rFonts w:hAnsi="メイリオ" w:cs="メイリオ" w:hint="eastAsia"/>
                <w:kern w:val="0"/>
                <w:sz w:val="20"/>
                <w:szCs w:val="20"/>
              </w:rPr>
              <w:t>開催場所</w:t>
            </w:r>
          </w:p>
        </w:tc>
        <w:tc>
          <w:tcPr>
            <w:tcW w:w="8258" w:type="dxa"/>
            <w:shd w:val="clear" w:color="auto" w:fill="auto"/>
          </w:tcPr>
          <w:p w:rsidR="006849BB" w:rsidRPr="00A40A32" w:rsidRDefault="006849BB" w:rsidP="00332201">
            <w:pPr>
              <w:jc w:val="left"/>
              <w:rPr>
                <w:rFonts w:hAnsi="メイリオ" w:cs="メイリオ"/>
                <w:sz w:val="20"/>
                <w:szCs w:val="20"/>
              </w:rPr>
            </w:pPr>
            <w:r w:rsidRPr="00A40A32">
              <w:rPr>
                <w:rFonts w:hAnsi="メイリオ" w:cs="メイリオ" w:hint="eastAsia"/>
                <w:sz w:val="20"/>
                <w:szCs w:val="20"/>
              </w:rPr>
              <w:t>令和5年9月25日（月）　16:0</w:t>
            </w:r>
            <w:r w:rsidRPr="00A40A32">
              <w:rPr>
                <w:rFonts w:hAnsi="メイリオ" w:cs="メイリオ"/>
                <w:sz w:val="20"/>
                <w:szCs w:val="20"/>
              </w:rPr>
              <w:t>0</w:t>
            </w:r>
            <w:r w:rsidRPr="00A40A32">
              <w:rPr>
                <w:rFonts w:hAnsi="メイリオ" w:cs="メイリオ" w:hint="eastAsia"/>
                <w:sz w:val="20"/>
                <w:szCs w:val="20"/>
              </w:rPr>
              <w:t>～16:25</w:t>
            </w:r>
          </w:p>
          <w:p w:rsidR="006849BB" w:rsidRPr="00A40A32" w:rsidRDefault="006849BB" w:rsidP="00332201">
            <w:pPr>
              <w:jc w:val="left"/>
              <w:rPr>
                <w:rFonts w:hAnsi="メイリオ" w:cs="メイリオ"/>
                <w:sz w:val="20"/>
                <w:szCs w:val="20"/>
              </w:rPr>
            </w:pPr>
            <w:r w:rsidRPr="00A40A32">
              <w:rPr>
                <w:rFonts w:hAnsi="メイリオ" w:cs="メイリオ" w:hint="eastAsia"/>
                <w:sz w:val="20"/>
                <w:szCs w:val="20"/>
              </w:rPr>
              <w:t>焼津市立総合病院　第2応接室</w:t>
            </w:r>
          </w:p>
        </w:tc>
      </w:tr>
      <w:tr w:rsidR="006849BB" w:rsidRPr="00A40A32" w:rsidTr="00332201">
        <w:trPr>
          <w:gridAfter w:val="1"/>
          <w:wAfter w:w="9" w:type="dxa"/>
          <w:trHeight w:val="236"/>
        </w:trPr>
        <w:tc>
          <w:tcPr>
            <w:tcW w:w="1578" w:type="dxa"/>
            <w:shd w:val="clear" w:color="auto" w:fill="auto"/>
          </w:tcPr>
          <w:p w:rsidR="006849BB" w:rsidRPr="00A40A32" w:rsidRDefault="006849BB" w:rsidP="00332201">
            <w:pPr>
              <w:jc w:val="center"/>
              <w:rPr>
                <w:rFonts w:hAnsi="メイリオ" w:cs="メイリオ"/>
                <w:sz w:val="20"/>
                <w:szCs w:val="20"/>
              </w:rPr>
            </w:pPr>
            <w:r w:rsidRPr="00A40A32">
              <w:rPr>
                <w:rFonts w:hAnsi="メイリオ" w:cs="メイリオ" w:hint="eastAsia"/>
                <w:kern w:val="0"/>
                <w:sz w:val="20"/>
                <w:szCs w:val="20"/>
              </w:rPr>
              <w:t>出席委員名</w:t>
            </w:r>
          </w:p>
        </w:tc>
        <w:tc>
          <w:tcPr>
            <w:tcW w:w="8258" w:type="dxa"/>
            <w:shd w:val="clear" w:color="auto" w:fill="auto"/>
          </w:tcPr>
          <w:p w:rsidR="006849BB" w:rsidRPr="00A40A32" w:rsidRDefault="006849BB" w:rsidP="00332201">
            <w:pPr>
              <w:jc w:val="left"/>
              <w:rPr>
                <w:rFonts w:hAnsi="メイリオ"/>
                <w:sz w:val="20"/>
                <w:szCs w:val="20"/>
                <w:lang w:eastAsia="zh-TW"/>
              </w:rPr>
            </w:pPr>
            <w:r w:rsidRPr="00A40A32">
              <w:rPr>
                <w:rFonts w:hAnsi="メイリオ" w:hint="eastAsia"/>
                <w:sz w:val="20"/>
                <w:szCs w:val="20"/>
                <w:lang w:eastAsia="zh-TW"/>
              </w:rPr>
              <w:t>池谷　直樹，高林　直記，酒井　直樹，増井　礼子，黒田　健治，林　豊，松本　由賀里，見崎　孝之，村松　正義，羽田　明夫</w:t>
            </w:r>
          </w:p>
        </w:tc>
      </w:tr>
      <w:tr w:rsidR="006849BB" w:rsidRPr="00A40A32" w:rsidTr="00332201">
        <w:trPr>
          <w:gridAfter w:val="1"/>
          <w:wAfter w:w="9" w:type="dxa"/>
        </w:trPr>
        <w:tc>
          <w:tcPr>
            <w:tcW w:w="1578" w:type="dxa"/>
            <w:shd w:val="clear" w:color="auto" w:fill="auto"/>
          </w:tcPr>
          <w:p w:rsidR="006849BB" w:rsidRPr="00A40A32" w:rsidRDefault="006849BB" w:rsidP="00332201">
            <w:pPr>
              <w:jc w:val="center"/>
              <w:rPr>
                <w:rFonts w:hAnsi="メイリオ" w:cs="メイリオ"/>
                <w:kern w:val="0"/>
                <w:sz w:val="20"/>
                <w:szCs w:val="20"/>
              </w:rPr>
            </w:pPr>
            <w:r w:rsidRPr="00A40A32">
              <w:rPr>
                <w:rFonts w:hAnsi="メイリオ" w:cs="メイリオ" w:hint="eastAsia"/>
                <w:kern w:val="0"/>
                <w:sz w:val="20"/>
                <w:szCs w:val="20"/>
              </w:rPr>
              <w:t>欠席委員名</w:t>
            </w:r>
          </w:p>
        </w:tc>
        <w:tc>
          <w:tcPr>
            <w:tcW w:w="8258" w:type="dxa"/>
            <w:shd w:val="clear" w:color="auto" w:fill="auto"/>
          </w:tcPr>
          <w:p w:rsidR="006849BB" w:rsidRPr="00A40A32" w:rsidRDefault="006849BB" w:rsidP="00332201">
            <w:pPr>
              <w:tabs>
                <w:tab w:val="left" w:pos="972"/>
              </w:tabs>
              <w:jc w:val="left"/>
              <w:rPr>
                <w:rFonts w:eastAsia="PMingLiU" w:hAnsi="メイリオ"/>
                <w:sz w:val="20"/>
                <w:szCs w:val="20"/>
                <w:lang w:eastAsia="zh-TW"/>
              </w:rPr>
            </w:pPr>
            <w:r w:rsidRPr="00A40A32">
              <w:rPr>
                <w:rFonts w:hAnsi="メイリオ" w:hint="eastAsia"/>
                <w:sz w:val="20"/>
                <w:szCs w:val="20"/>
                <w:lang w:eastAsia="zh-TW"/>
              </w:rPr>
              <w:t>寺田　浩己</w:t>
            </w:r>
          </w:p>
        </w:tc>
      </w:tr>
      <w:tr w:rsidR="006849BB" w:rsidRPr="00A40A32" w:rsidTr="00332201">
        <w:trPr>
          <w:gridAfter w:val="1"/>
          <w:wAfter w:w="9" w:type="dxa"/>
          <w:trHeight w:val="1833"/>
        </w:trPr>
        <w:tc>
          <w:tcPr>
            <w:tcW w:w="1578" w:type="dxa"/>
            <w:shd w:val="clear" w:color="auto" w:fill="auto"/>
          </w:tcPr>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議題及び審議結果を含む主な議論の概要</w:t>
            </w:r>
          </w:p>
        </w:tc>
        <w:tc>
          <w:tcPr>
            <w:tcW w:w="8258" w:type="dxa"/>
            <w:shd w:val="clear" w:color="auto" w:fill="auto"/>
          </w:tcPr>
          <w:p w:rsidR="006849BB" w:rsidRPr="00CB1B1E" w:rsidRDefault="006849BB" w:rsidP="00332201">
            <w:pPr>
              <w:ind w:left="840" w:hangingChars="400" w:hanging="840"/>
              <w:rPr>
                <w:rFonts w:hAnsi="メイリオ" w:cs="メイリオ"/>
                <w:bCs/>
                <w:szCs w:val="21"/>
              </w:rPr>
            </w:pPr>
            <w:r>
              <w:rPr>
                <w:rFonts w:hAnsi="メイリオ" w:cs="メイリオ" w:hint="eastAsia"/>
                <w:bCs/>
                <w:szCs w:val="21"/>
              </w:rPr>
              <w:t>議題1．</w:t>
            </w:r>
            <w:r w:rsidRPr="00D26907">
              <w:rPr>
                <w:rFonts w:hAnsi="メイリオ" w:cs="メイリオ" w:hint="eastAsia"/>
                <w:bCs/>
                <w:szCs w:val="21"/>
              </w:rPr>
              <w:t>糖尿病性腎臓病患者を対象としたRTA 402（Bardoxolone methyl）の第Ⅲ相試験</w:t>
            </w:r>
          </w:p>
          <w:p w:rsidR="006849BB" w:rsidRDefault="006849BB" w:rsidP="00332201">
            <w:pPr>
              <w:ind w:left="210" w:hangingChars="100" w:hanging="210"/>
              <w:rPr>
                <w:rFonts w:hAnsi="メイリオ" w:cs="メイリオ"/>
                <w:bCs/>
                <w:szCs w:val="21"/>
              </w:rPr>
            </w:pPr>
            <w:r>
              <w:rPr>
                <w:rFonts w:hAnsi="メイリオ" w:cs="メイリオ" w:hint="eastAsia"/>
                <w:bCs/>
                <w:szCs w:val="21"/>
              </w:rPr>
              <w:t>治験依頼者;協和</w:t>
            </w:r>
            <w:r w:rsidRPr="00CB1B1E">
              <w:rPr>
                <w:rFonts w:hAnsi="メイリオ" w:cs="メイリオ" w:hint="eastAsia"/>
                <w:bCs/>
                <w:szCs w:val="21"/>
              </w:rPr>
              <w:t>キリン株式会社</w:t>
            </w:r>
          </w:p>
          <w:p w:rsidR="006849BB" w:rsidRDefault="006849BB" w:rsidP="00332201">
            <w:pPr>
              <w:ind w:left="210" w:hangingChars="100" w:hanging="210"/>
              <w:rPr>
                <w:rFonts w:hAnsi="メイリオ" w:cs="メイリオ"/>
                <w:bCs/>
                <w:szCs w:val="21"/>
              </w:rPr>
            </w:pPr>
            <w:r>
              <w:rPr>
                <w:rFonts w:hAnsi="メイリオ" w:cs="メイリオ" w:hint="eastAsia"/>
                <w:bCs/>
                <w:szCs w:val="21"/>
              </w:rPr>
              <w:t>【報告事項】</w:t>
            </w:r>
          </w:p>
          <w:p w:rsidR="006849BB" w:rsidRPr="000C1FA9" w:rsidRDefault="006849BB" w:rsidP="00332201">
            <w:pPr>
              <w:ind w:left="210" w:hangingChars="100" w:hanging="210"/>
              <w:rPr>
                <w:rFonts w:hAnsi="メイリオ" w:cs="メイリオ"/>
                <w:bCs/>
                <w:szCs w:val="21"/>
              </w:rPr>
            </w:pPr>
            <w:r>
              <w:rPr>
                <w:rFonts w:hAnsi="メイリオ" w:cs="メイリオ" w:hint="eastAsia"/>
                <w:bCs/>
                <w:szCs w:val="21"/>
              </w:rPr>
              <w:t>治験終了報告書（書式1</w:t>
            </w:r>
            <w:r>
              <w:rPr>
                <w:rFonts w:hAnsi="メイリオ" w:cs="メイリオ"/>
                <w:bCs/>
                <w:szCs w:val="21"/>
              </w:rPr>
              <w:t>7</w:t>
            </w:r>
            <w:r>
              <w:rPr>
                <w:rFonts w:hAnsi="メイリオ" w:cs="メイリオ" w:hint="eastAsia"/>
                <w:bCs/>
                <w:szCs w:val="21"/>
              </w:rPr>
              <w:t>）の提出に基づき，治験の終了について報告した．</w:t>
            </w:r>
          </w:p>
          <w:p w:rsidR="006849BB" w:rsidRPr="00781544" w:rsidRDefault="006849BB" w:rsidP="00332201">
            <w:pPr>
              <w:ind w:left="210" w:hangingChars="100" w:hanging="210"/>
              <w:rPr>
                <w:rFonts w:hAnsi="メイリオ" w:cs="メイリオ"/>
                <w:bCs/>
                <w:szCs w:val="21"/>
              </w:rPr>
            </w:pPr>
          </w:p>
          <w:p w:rsidR="006849BB" w:rsidRPr="00A40A32" w:rsidRDefault="006849BB" w:rsidP="00332201">
            <w:pPr>
              <w:ind w:left="684" w:hangingChars="342" w:hanging="684"/>
              <w:rPr>
                <w:rFonts w:eastAsia="游明朝" w:hAnsi="メイリオ" w:cs="メイリオ"/>
                <w:bCs/>
                <w:sz w:val="20"/>
                <w:szCs w:val="20"/>
              </w:rPr>
            </w:pPr>
            <w:r w:rsidRPr="00A40A32">
              <w:rPr>
                <w:rFonts w:hAnsi="メイリオ" w:cs="メイリオ" w:hint="eastAsia"/>
                <w:bCs/>
                <w:sz w:val="20"/>
                <w:szCs w:val="20"/>
              </w:rPr>
              <w:t>議題</w:t>
            </w:r>
            <w:r>
              <w:rPr>
                <w:rFonts w:hAnsi="メイリオ" w:cs="メイリオ" w:hint="eastAsia"/>
                <w:bCs/>
                <w:sz w:val="20"/>
                <w:szCs w:val="20"/>
              </w:rPr>
              <w:t>2</w:t>
            </w:r>
            <w:r w:rsidRPr="00A40A32">
              <w:rPr>
                <w:rFonts w:hAnsi="メイリオ" w:cs="メイリオ" w:hint="eastAsia"/>
                <w:bCs/>
                <w:sz w:val="20"/>
                <w:szCs w:val="20"/>
              </w:rPr>
              <w:t>．小児喘息患者を対象にデュピルマブの長期安全性 及び忍容性を評価する1年間試験</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治験依頼者;サノフィ株式会社</w:t>
            </w:r>
          </w:p>
          <w:p w:rsidR="006849BB" w:rsidRPr="00A40A32" w:rsidRDefault="006849BB" w:rsidP="00332201">
            <w:pPr>
              <w:ind w:left="200" w:hangingChars="100" w:hanging="200"/>
              <w:rPr>
                <w:rFonts w:eastAsia="PMingLiU" w:hAnsi="メイリオ" w:cs="メイリオ"/>
                <w:bCs/>
                <w:sz w:val="20"/>
                <w:szCs w:val="20"/>
              </w:rPr>
            </w:pPr>
            <w:r w:rsidRPr="00A40A32">
              <w:rPr>
                <w:rFonts w:hAnsi="メイリオ" w:cs="メイリオ" w:hint="eastAsia"/>
                <w:bCs/>
                <w:sz w:val="20"/>
                <w:szCs w:val="20"/>
              </w:rPr>
              <w:t>【審議事項】</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安全性情報等に関する報告書（書式16）及び治験に関する変更申請書（書式10）の提出に基づき，治験を継続して行うことの適否について審議した．</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【質疑】</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・副作用で感染症が多く報告されているが、関連なしと見解している理由はなぜか</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・発症した副作用の記載が伝わりづらいため次回再度報告してほしい</w:t>
            </w:r>
          </w:p>
          <w:p w:rsidR="006849BB" w:rsidRPr="00A40A32" w:rsidRDefault="006849BB" w:rsidP="00332201">
            <w:pPr>
              <w:ind w:left="200" w:hangingChars="100" w:hanging="200"/>
              <w:rPr>
                <w:rFonts w:hAnsi="メイリオ" w:cs="メイリオ"/>
                <w:bCs/>
                <w:sz w:val="20"/>
                <w:szCs w:val="20"/>
              </w:rPr>
            </w:pPr>
            <w:r w:rsidRPr="00A40A32">
              <w:rPr>
                <w:rFonts w:hAnsi="メイリオ" w:cs="メイリオ" w:hint="eastAsia"/>
                <w:bCs/>
                <w:sz w:val="20"/>
                <w:szCs w:val="20"/>
              </w:rPr>
              <w:t>【審議結果】</w:t>
            </w:r>
          </w:p>
          <w:p w:rsidR="006849BB" w:rsidRPr="00A40A32" w:rsidRDefault="006849BB" w:rsidP="00332201">
            <w:pPr>
              <w:rPr>
                <w:rFonts w:eastAsia="PMingLiU" w:hAnsi="メイリオ" w:cs="メイリオ"/>
                <w:bCs/>
                <w:sz w:val="20"/>
                <w:szCs w:val="20"/>
              </w:rPr>
            </w:pPr>
            <w:r w:rsidRPr="00A40A32">
              <w:rPr>
                <w:rFonts w:hAnsi="メイリオ" w:cs="メイリオ" w:hint="eastAsia"/>
                <w:bCs/>
                <w:sz w:val="20"/>
                <w:szCs w:val="20"/>
              </w:rPr>
              <w:t>承認</w:t>
            </w:r>
          </w:p>
          <w:p w:rsidR="006849BB" w:rsidRPr="00A40A32" w:rsidRDefault="006849BB" w:rsidP="00332201">
            <w:pPr>
              <w:rPr>
                <w:rFonts w:eastAsia="PMingLiU" w:hAnsi="メイリオ" w:cs="メイリオ"/>
                <w:bCs/>
                <w:sz w:val="20"/>
                <w:szCs w:val="20"/>
              </w:rPr>
            </w:pPr>
          </w:p>
          <w:p w:rsidR="00917E39" w:rsidRPr="00917E39" w:rsidRDefault="006849BB" w:rsidP="00917E39">
            <w:pPr>
              <w:ind w:left="800" w:hangingChars="400" w:hanging="800"/>
              <w:rPr>
                <w:rFonts w:hAnsi="メイリオ" w:cs="メイリオ"/>
                <w:bCs/>
                <w:sz w:val="20"/>
                <w:szCs w:val="20"/>
              </w:rPr>
            </w:pPr>
            <w:r w:rsidRPr="00A40A32">
              <w:rPr>
                <w:rFonts w:hAnsi="メイリオ" w:cs="メイリオ" w:hint="eastAsia"/>
                <w:bCs/>
                <w:sz w:val="20"/>
                <w:szCs w:val="20"/>
              </w:rPr>
              <w:t>議題</w:t>
            </w:r>
            <w:r>
              <w:rPr>
                <w:rFonts w:hAnsi="メイリオ" w:cs="メイリオ" w:hint="eastAsia"/>
                <w:bCs/>
                <w:sz w:val="20"/>
                <w:szCs w:val="20"/>
              </w:rPr>
              <w:t>3</w:t>
            </w:r>
            <w:r w:rsidRPr="00A40A32">
              <w:rPr>
                <w:rFonts w:hAnsi="メイリオ" w:cs="メイリオ" w:hint="eastAsia"/>
                <w:bCs/>
                <w:sz w:val="20"/>
                <w:szCs w:val="20"/>
              </w:rPr>
              <w:t>．</w:t>
            </w:r>
            <w:r w:rsidR="00917E39" w:rsidRPr="00917E39">
              <w:rPr>
                <w:rFonts w:hAnsi="メイリオ" w:cs="メイリオ" w:hint="eastAsia"/>
                <w:bCs/>
                <w:sz w:val="20"/>
                <w:szCs w:val="20"/>
              </w:rPr>
              <w:t>高カリウム血症又は高カリウム血症のリスクを有する慢性腎臓病（CKD）患者の</w:t>
            </w:r>
          </w:p>
          <w:p w:rsidR="006849BB" w:rsidRPr="00A40A32" w:rsidRDefault="00917E39" w:rsidP="007B2C98">
            <w:pPr>
              <w:ind w:leftChars="300" w:left="630"/>
              <w:rPr>
                <w:rFonts w:hAnsi="メイリオ" w:cs="メイリオ"/>
                <w:bCs/>
                <w:sz w:val="20"/>
                <w:szCs w:val="20"/>
              </w:rPr>
            </w:pPr>
            <w:r>
              <w:rPr>
                <w:rFonts w:hAnsi="メイリオ" w:cs="メイリオ" w:hint="eastAsia"/>
                <w:bCs/>
                <w:sz w:val="20"/>
                <w:szCs w:val="20"/>
              </w:rPr>
              <w:t>CKD</w:t>
            </w:r>
            <w:r w:rsidRPr="00917E39">
              <w:rPr>
                <w:rFonts w:hAnsi="メイリオ" w:cs="メイリオ" w:hint="eastAsia"/>
                <w:bCs/>
                <w:sz w:val="20"/>
                <w:szCs w:val="20"/>
              </w:rPr>
              <w:t>進行におけるジルコニウムシクロケイ酸ナトリウム水和物の有効性を評価する第Ⅲ相試験</w:t>
            </w:r>
            <w:r w:rsidRPr="00A40A32">
              <w:rPr>
                <w:rFonts w:hAnsi="メイリオ" w:cs="メイリオ"/>
                <w:bCs/>
                <w:sz w:val="20"/>
                <w:szCs w:val="20"/>
              </w:rPr>
              <w:t xml:space="preserve"> </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治験依頼者;アストラゼネカ株式会社</w:t>
            </w:r>
          </w:p>
          <w:p w:rsidR="006849BB" w:rsidRPr="00A40A32" w:rsidRDefault="006849BB" w:rsidP="00332201">
            <w:pPr>
              <w:ind w:left="200" w:hangingChars="100" w:hanging="200"/>
              <w:rPr>
                <w:rFonts w:eastAsia="PMingLiU" w:hAnsi="メイリオ" w:cs="メイリオ"/>
                <w:bCs/>
                <w:sz w:val="20"/>
                <w:szCs w:val="20"/>
              </w:rPr>
            </w:pPr>
            <w:r w:rsidRPr="00A40A32">
              <w:rPr>
                <w:rFonts w:hAnsi="メイリオ" w:cs="メイリオ" w:hint="eastAsia"/>
                <w:bCs/>
                <w:sz w:val="20"/>
                <w:szCs w:val="20"/>
              </w:rPr>
              <w:t>【審議事項】</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安全性情報等に関する報告書（書式16）及び治験に関する変更申請書（書式10）の提出に基づき，治験を継続して行うことの適否について審議した．</w:t>
            </w:r>
          </w:p>
          <w:p w:rsidR="006849BB" w:rsidRPr="00A40A32" w:rsidRDefault="006849BB" w:rsidP="00332201">
            <w:pPr>
              <w:ind w:left="200" w:hangingChars="100" w:hanging="200"/>
              <w:rPr>
                <w:rFonts w:hAnsi="メイリオ" w:cs="メイリオ"/>
                <w:bCs/>
                <w:sz w:val="20"/>
                <w:szCs w:val="20"/>
              </w:rPr>
            </w:pPr>
            <w:r w:rsidRPr="00A40A32">
              <w:rPr>
                <w:rFonts w:hAnsi="メイリオ" w:cs="メイリオ" w:hint="eastAsia"/>
                <w:bCs/>
                <w:sz w:val="20"/>
                <w:szCs w:val="20"/>
              </w:rPr>
              <w:t>【審議結果】</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t>承認</w:t>
            </w:r>
          </w:p>
          <w:p w:rsidR="006849BB" w:rsidRPr="00A40A32" w:rsidRDefault="006849BB" w:rsidP="00332201">
            <w:pPr>
              <w:rPr>
                <w:rFonts w:hAnsi="メイリオ" w:cs="メイリオ"/>
                <w:bCs/>
                <w:sz w:val="20"/>
                <w:szCs w:val="20"/>
              </w:rPr>
            </w:pPr>
          </w:p>
          <w:p w:rsidR="006849BB" w:rsidRPr="00A40A32" w:rsidRDefault="006849BB" w:rsidP="00332201">
            <w:pPr>
              <w:tabs>
                <w:tab w:val="left" w:pos="543"/>
              </w:tabs>
              <w:rPr>
                <w:rFonts w:hAnsi="メイリオ" w:cs="メイリオ"/>
                <w:bCs/>
                <w:sz w:val="20"/>
                <w:szCs w:val="20"/>
              </w:rPr>
            </w:pPr>
            <w:r w:rsidRPr="00A40A32">
              <w:rPr>
                <w:rFonts w:hAnsi="メイリオ" w:cs="メイリオ" w:hint="eastAsia"/>
                <w:bCs/>
                <w:sz w:val="20"/>
                <w:szCs w:val="20"/>
              </w:rPr>
              <w:t>議題</w:t>
            </w:r>
            <w:r>
              <w:rPr>
                <w:rFonts w:hAnsi="メイリオ" w:cs="メイリオ" w:hint="eastAsia"/>
                <w:bCs/>
                <w:sz w:val="20"/>
                <w:szCs w:val="20"/>
              </w:rPr>
              <w:t>4</w:t>
            </w:r>
            <w:r w:rsidRPr="00A40A32">
              <w:rPr>
                <w:rFonts w:hAnsi="メイリオ" w:cs="メイリオ" w:hint="eastAsia"/>
                <w:bCs/>
                <w:sz w:val="20"/>
                <w:szCs w:val="20"/>
              </w:rPr>
              <w:t>．日本新薬株式会社の依頼によるNS-580の第II相試験</w:t>
            </w:r>
          </w:p>
          <w:p w:rsidR="006849BB" w:rsidRPr="00A40A32" w:rsidRDefault="006849BB" w:rsidP="00332201">
            <w:pPr>
              <w:rPr>
                <w:rFonts w:hAnsi="メイリオ" w:cs="メイリオ"/>
                <w:bCs/>
                <w:sz w:val="20"/>
                <w:szCs w:val="20"/>
                <w:lang w:eastAsia="zh-CN"/>
              </w:rPr>
            </w:pPr>
            <w:r w:rsidRPr="00A40A32">
              <w:rPr>
                <w:rFonts w:hAnsi="メイリオ" w:cs="メイリオ" w:hint="eastAsia"/>
                <w:bCs/>
                <w:sz w:val="20"/>
                <w:szCs w:val="20"/>
                <w:lang w:eastAsia="zh-CN"/>
              </w:rPr>
              <w:t>治験依頼者;日本新薬株式会社</w:t>
            </w:r>
          </w:p>
          <w:p w:rsidR="006849BB" w:rsidRPr="00A40A32" w:rsidRDefault="006849BB" w:rsidP="00332201">
            <w:pPr>
              <w:ind w:left="200" w:hangingChars="100" w:hanging="200"/>
              <w:rPr>
                <w:rFonts w:eastAsia="PMingLiU" w:hAnsi="メイリオ" w:cs="メイリオ"/>
                <w:bCs/>
                <w:sz w:val="20"/>
                <w:szCs w:val="20"/>
              </w:rPr>
            </w:pPr>
            <w:r w:rsidRPr="00A40A32">
              <w:rPr>
                <w:rFonts w:hAnsi="メイリオ" w:cs="メイリオ" w:hint="eastAsia"/>
                <w:bCs/>
                <w:sz w:val="20"/>
                <w:szCs w:val="20"/>
              </w:rPr>
              <w:t>【審議事項】</w:t>
            </w:r>
          </w:p>
          <w:p w:rsidR="006849BB" w:rsidRPr="00A40A32" w:rsidRDefault="006849BB" w:rsidP="00332201">
            <w:pPr>
              <w:rPr>
                <w:rFonts w:hAnsi="メイリオ" w:cs="メイリオ"/>
                <w:bCs/>
                <w:sz w:val="20"/>
                <w:szCs w:val="20"/>
              </w:rPr>
            </w:pPr>
            <w:r w:rsidRPr="00A40A32">
              <w:rPr>
                <w:rFonts w:hAnsi="メイリオ" w:cs="メイリオ" w:hint="eastAsia"/>
                <w:bCs/>
                <w:sz w:val="20"/>
                <w:szCs w:val="20"/>
              </w:rPr>
              <w:lastRenderedPageBreak/>
              <w:t>治験に関する変更申請書（書式10）の提出に基づき，治験を継続して行うことの適否について審議した．</w:t>
            </w:r>
          </w:p>
          <w:p w:rsidR="006849BB" w:rsidRPr="00A40A32" w:rsidRDefault="006849BB" w:rsidP="00332201">
            <w:pPr>
              <w:ind w:left="200" w:hangingChars="100" w:hanging="200"/>
              <w:rPr>
                <w:rFonts w:hAnsi="メイリオ" w:cs="メイリオ"/>
                <w:bCs/>
                <w:sz w:val="20"/>
                <w:szCs w:val="20"/>
                <w:lang w:eastAsia="zh-TW"/>
              </w:rPr>
            </w:pPr>
            <w:r w:rsidRPr="00A40A32">
              <w:rPr>
                <w:rFonts w:hAnsi="メイリオ" w:cs="メイリオ" w:hint="eastAsia"/>
                <w:bCs/>
                <w:sz w:val="20"/>
                <w:szCs w:val="20"/>
                <w:lang w:eastAsia="zh-TW"/>
              </w:rPr>
              <w:t>【審議結果】</w:t>
            </w:r>
          </w:p>
          <w:p w:rsidR="006849BB" w:rsidRPr="00A40A32" w:rsidRDefault="006849BB" w:rsidP="00332201">
            <w:pPr>
              <w:rPr>
                <w:rFonts w:eastAsia="PMingLiU" w:hAnsi="メイリオ" w:cs="メイリオ"/>
                <w:bCs/>
                <w:sz w:val="20"/>
                <w:szCs w:val="20"/>
                <w:lang w:eastAsia="zh-TW"/>
              </w:rPr>
            </w:pPr>
            <w:r w:rsidRPr="00A40A32">
              <w:rPr>
                <w:rFonts w:hAnsi="メイリオ" w:cs="メイリオ" w:hint="eastAsia"/>
                <w:bCs/>
                <w:sz w:val="20"/>
                <w:szCs w:val="20"/>
                <w:lang w:eastAsia="zh-TW"/>
              </w:rPr>
              <w:t>承認</w:t>
            </w:r>
          </w:p>
          <w:p w:rsidR="006849BB" w:rsidRPr="00A40A32" w:rsidRDefault="006849BB" w:rsidP="00332201">
            <w:pPr>
              <w:rPr>
                <w:rFonts w:eastAsia="PMingLiU" w:hAnsi="メイリオ" w:cs="メイリオ"/>
                <w:bCs/>
                <w:sz w:val="20"/>
                <w:szCs w:val="20"/>
                <w:lang w:eastAsia="zh-TW"/>
              </w:rPr>
            </w:pPr>
          </w:p>
          <w:p w:rsidR="006849BB" w:rsidRPr="00A40A32" w:rsidRDefault="006849BB" w:rsidP="00332201">
            <w:pPr>
              <w:ind w:left="200" w:hangingChars="100" w:hanging="200"/>
              <w:jc w:val="right"/>
              <w:rPr>
                <w:rFonts w:hAnsi="メイリオ" w:cs="メイリオ"/>
                <w:bCs/>
                <w:sz w:val="20"/>
                <w:szCs w:val="20"/>
                <w:lang w:eastAsia="zh-TW"/>
              </w:rPr>
            </w:pPr>
            <w:r w:rsidRPr="00A40A32">
              <w:rPr>
                <w:rFonts w:hAnsi="メイリオ" w:cs="メイリオ" w:hint="eastAsia"/>
                <w:bCs/>
                <w:sz w:val="20"/>
                <w:szCs w:val="20"/>
                <w:lang w:eastAsia="zh-TW"/>
              </w:rPr>
              <w:t>以上</w:t>
            </w:r>
          </w:p>
        </w:tc>
      </w:tr>
      <w:tr w:rsidR="006849BB" w:rsidRPr="00A40A32" w:rsidTr="00332201">
        <w:trPr>
          <w:trHeight w:val="288"/>
        </w:trPr>
        <w:tc>
          <w:tcPr>
            <w:tcW w:w="1578" w:type="dxa"/>
            <w:shd w:val="clear" w:color="auto" w:fill="auto"/>
          </w:tcPr>
          <w:p w:rsidR="006849BB" w:rsidRPr="00A40A32" w:rsidRDefault="006849BB" w:rsidP="00332201">
            <w:pPr>
              <w:jc w:val="center"/>
              <w:rPr>
                <w:rFonts w:hAnsi="メイリオ" w:cs="メイリオ"/>
                <w:sz w:val="20"/>
                <w:szCs w:val="20"/>
                <w:lang w:eastAsia="zh-TW"/>
              </w:rPr>
            </w:pPr>
            <w:r w:rsidRPr="00A40A32">
              <w:rPr>
                <w:rFonts w:hAnsi="メイリオ" w:cs="メイリオ" w:hint="eastAsia"/>
                <w:sz w:val="20"/>
                <w:szCs w:val="20"/>
              </w:rPr>
              <w:lastRenderedPageBreak/>
              <w:t>特記事項</w:t>
            </w:r>
          </w:p>
        </w:tc>
        <w:tc>
          <w:tcPr>
            <w:tcW w:w="8267" w:type="dxa"/>
            <w:gridSpan w:val="2"/>
            <w:shd w:val="clear" w:color="auto" w:fill="auto"/>
          </w:tcPr>
          <w:p w:rsidR="006849BB" w:rsidRPr="00A40A32" w:rsidRDefault="006849BB" w:rsidP="00332201">
            <w:pPr>
              <w:rPr>
                <w:rFonts w:hAnsi="メイリオ" w:cs="メイリオ"/>
                <w:sz w:val="20"/>
                <w:szCs w:val="20"/>
              </w:rPr>
            </w:pPr>
            <w:r w:rsidRPr="00A40A32">
              <w:rPr>
                <w:rFonts w:hAnsi="メイリオ" w:cs="メイリオ" w:hint="eastAsia"/>
                <w:sz w:val="20"/>
                <w:szCs w:val="20"/>
              </w:rPr>
              <w:t>-</w:t>
            </w:r>
          </w:p>
        </w:tc>
      </w:tr>
    </w:tbl>
    <w:p w:rsidR="006849BB" w:rsidRPr="00A40A32" w:rsidRDefault="006849BB" w:rsidP="006849BB">
      <w:pPr>
        <w:tabs>
          <w:tab w:val="left" w:pos="1960"/>
        </w:tabs>
        <w:rPr>
          <w:rFonts w:hAnsi="メイリオ" w:cs="メイリオ"/>
          <w:sz w:val="20"/>
          <w:szCs w:val="20"/>
        </w:rPr>
      </w:pPr>
    </w:p>
    <w:p w:rsidR="00697CA2" w:rsidRDefault="0075485B" w:rsidP="006849BB"/>
    <w:sectPr w:rsidR="00697CA2" w:rsidSect="000172B8">
      <w:footerReference w:type="default" r:id="rId6"/>
      <w:pgSz w:w="11906" w:h="16838" w:code="9"/>
      <w:pgMar w:top="992" w:right="1134" w:bottom="1021" w:left="1134" w:header="851" w:footer="567" w:gutter="0"/>
      <w:cols w:space="425"/>
      <w:docGrid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5B" w:rsidRDefault="0075485B">
      <w:r>
        <w:separator/>
      </w:r>
    </w:p>
  </w:endnote>
  <w:endnote w:type="continuationSeparator" w:id="0">
    <w:p w:rsidR="0075485B" w:rsidRDefault="0075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26" w:rsidRDefault="006849BB" w:rsidP="00E56BE9">
    <w:pPr>
      <w:pStyle w:val="a3"/>
      <w:jc w:val="right"/>
    </w:pPr>
    <w:r>
      <w:fldChar w:fldCharType="begin"/>
    </w:r>
    <w:r>
      <w:instrText>PAGE   \* MERGEFORMAT</w:instrText>
    </w:r>
    <w:r>
      <w:fldChar w:fldCharType="separate"/>
    </w:r>
    <w:r w:rsidR="00B20CF0" w:rsidRPr="00B20CF0">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5B" w:rsidRDefault="0075485B">
      <w:r>
        <w:separator/>
      </w:r>
    </w:p>
  </w:footnote>
  <w:footnote w:type="continuationSeparator" w:id="0">
    <w:p w:rsidR="0075485B" w:rsidRDefault="0075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BB"/>
    <w:rsid w:val="00071B15"/>
    <w:rsid w:val="00433541"/>
    <w:rsid w:val="006849BB"/>
    <w:rsid w:val="006C4152"/>
    <w:rsid w:val="0075485B"/>
    <w:rsid w:val="007B2C98"/>
    <w:rsid w:val="00917E39"/>
    <w:rsid w:val="00AE6C17"/>
    <w:rsid w:val="00B20CF0"/>
    <w:rsid w:val="00E82AD0"/>
    <w:rsid w:val="00EB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818102-161A-43E1-8B7A-ADE4400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BB"/>
    <w:pPr>
      <w:widowControl w:val="0"/>
      <w:jc w:val="both"/>
    </w:pPr>
    <w:rPr>
      <w:rFonts w:ascii="メイリオ" w:eastAsia="メイリオ"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49BB"/>
    <w:pPr>
      <w:tabs>
        <w:tab w:val="center" w:pos="4252"/>
        <w:tab w:val="right" w:pos="8504"/>
      </w:tabs>
      <w:snapToGrid w:val="0"/>
    </w:pPr>
  </w:style>
  <w:style w:type="character" w:customStyle="1" w:styleId="a4">
    <w:name w:val="フッター (文字)"/>
    <w:basedOn w:val="a0"/>
    <w:link w:val="a3"/>
    <w:uiPriority w:val="99"/>
    <w:rsid w:val="006849BB"/>
    <w:rPr>
      <w:rFonts w:ascii="メイリオ" w:eastAsia="メイリオ" w:hAnsi="Century" w:cs="Times New Roman"/>
      <w:szCs w:val="24"/>
    </w:rPr>
  </w:style>
  <w:style w:type="paragraph" w:styleId="a5">
    <w:name w:val="header"/>
    <w:basedOn w:val="a"/>
    <w:link w:val="a6"/>
    <w:uiPriority w:val="99"/>
    <w:unhideWhenUsed/>
    <w:rsid w:val="007B2C98"/>
    <w:pPr>
      <w:tabs>
        <w:tab w:val="center" w:pos="4252"/>
        <w:tab w:val="right" w:pos="8504"/>
      </w:tabs>
      <w:snapToGrid w:val="0"/>
    </w:pPr>
  </w:style>
  <w:style w:type="character" w:customStyle="1" w:styleId="a6">
    <w:name w:val="ヘッダー (文字)"/>
    <w:basedOn w:val="a0"/>
    <w:link w:val="a5"/>
    <w:uiPriority w:val="99"/>
    <w:rsid w:val="007B2C98"/>
    <w:rPr>
      <w:rFonts w:ascii="メイリオ" w:eastAsia="メイリオ"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4006">
      <w:bodyDiv w:val="1"/>
      <w:marLeft w:val="0"/>
      <w:marRight w:val="0"/>
      <w:marTop w:val="0"/>
      <w:marBottom w:val="0"/>
      <w:divBdr>
        <w:top w:val="none" w:sz="0" w:space="0" w:color="auto"/>
        <w:left w:val="none" w:sz="0" w:space="0" w:color="auto"/>
        <w:bottom w:val="none" w:sz="0" w:space="0" w:color="auto"/>
        <w:right w:val="none" w:sz="0" w:space="0" w:color="auto"/>
      </w:divBdr>
    </w:div>
    <w:div w:id="14553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CMIC</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第213回治験審査委員会会議録</dc:title>
  <dc:subject/>
  <dc:creator>焼津市立総合病院治験管理室</dc:creator>
  <cp:keywords/>
  <dc:description/>
  <cp:lastModifiedBy>joho</cp:lastModifiedBy>
  <cp:revision>3</cp:revision>
  <dcterms:created xsi:type="dcterms:W3CDTF">2023-10-17T07:04:00Z</dcterms:created>
  <dcterms:modified xsi:type="dcterms:W3CDTF">2023-10-17T07:10:00Z</dcterms:modified>
</cp:coreProperties>
</file>